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43BEF">
        <w:rPr>
          <w:rFonts w:ascii="Times New Roman" w:hAnsi="Times New Roman" w:cs="Times New Roman"/>
          <w:sz w:val="20"/>
          <w:szCs w:val="20"/>
        </w:rPr>
        <w:t>65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C43BEF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D56E2">
        <w:rPr>
          <w:rFonts w:ascii="Times New Roman" w:hAnsi="Times New Roman" w:cs="Times New Roman"/>
          <w:b/>
          <w:sz w:val="24"/>
          <w:szCs w:val="24"/>
        </w:rPr>
        <w:t>MATEMATYCZNEGO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DD56E2">
        <w:rPr>
          <w:rFonts w:ascii="Times New Roman" w:hAnsi="Times New Roman" w:cs="Times New Roman"/>
        </w:rPr>
        <w:t>Matematyczny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DD56E2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DD56E2">
        <w:rPr>
          <w:rFonts w:ascii="Times New Roman" w:hAnsi="Times New Roman" w:cs="Times New Roman"/>
        </w:rPr>
        <w:t xml:space="preserve">: </w:t>
      </w:r>
      <w:bookmarkStart w:id="1" w:name="_Hlk18503059"/>
      <w:r w:rsidR="00DD56E2" w:rsidRPr="00DD56E2">
        <w:rPr>
          <w:rFonts w:ascii="Times New Roman" w:hAnsi="Times New Roman" w:cs="Times New Roman"/>
        </w:rPr>
        <w:fldChar w:fldCharType="begin"/>
      </w:r>
      <w:r w:rsidR="00DD56E2" w:rsidRPr="00DD56E2">
        <w:rPr>
          <w:rFonts w:ascii="Times New Roman" w:hAnsi="Times New Roman" w:cs="Times New Roman"/>
        </w:rPr>
        <w:instrText xml:space="preserve"> HYPERLINK "mailto:katarzyna.czaja@kuratorium.krakow.pl" </w:instrText>
      </w:r>
      <w:r w:rsidR="00DD56E2" w:rsidRPr="00DD56E2">
        <w:rPr>
          <w:rFonts w:ascii="Times New Roman" w:hAnsi="Times New Roman" w:cs="Times New Roman"/>
        </w:rPr>
        <w:fldChar w:fldCharType="separate"/>
      </w:r>
      <w:r w:rsidR="00DD56E2" w:rsidRPr="00DD56E2">
        <w:rPr>
          <w:rStyle w:val="Hipercze"/>
          <w:rFonts w:ascii="Times New Roman" w:hAnsi="Times New Roman" w:cs="Times New Roman"/>
          <w:color w:val="auto"/>
        </w:rPr>
        <w:t>katarzyna.czaja@kuratorium.krakow.pl</w:t>
      </w:r>
      <w:r w:rsidR="00DD56E2" w:rsidRPr="00DD56E2">
        <w:rPr>
          <w:rFonts w:ascii="Times New Roman" w:hAnsi="Times New Roman" w:cs="Times New Roman"/>
        </w:rPr>
        <w:fldChar w:fldCharType="end"/>
      </w:r>
      <w:r w:rsidR="00DD56E2" w:rsidRPr="00DD56E2">
        <w:rPr>
          <w:rFonts w:ascii="Times New Roman" w:hAnsi="Times New Roman" w:cs="Times New Roman"/>
        </w:rPr>
        <w:t xml:space="preserve"> </w:t>
      </w:r>
      <w:bookmarkEnd w:id="1"/>
      <w:r w:rsidR="001D74A1" w:rsidRPr="00DD56E2">
        <w:rPr>
          <w:rFonts w:ascii="Times New Roman" w:hAnsi="Times New Roman" w:cs="Times New Roman"/>
        </w:rPr>
        <w:t xml:space="preserve">lub osobiście </w:t>
      </w:r>
      <w:r w:rsidR="00B311B0" w:rsidRPr="00DD56E2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DD56E2">
        <w:rPr>
          <w:rFonts w:ascii="Times New Roman" w:hAnsi="Times New Roman" w:cs="Times New Roman"/>
        </w:rPr>
        <w:t>.</w:t>
      </w:r>
    </w:p>
    <w:p w:rsidR="0015137E" w:rsidRPr="00DD56E2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DD56E2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DD56E2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DD56E2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DD56E2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D56E2">
        <w:rPr>
          <w:rFonts w:ascii="Times New Roman" w:hAnsi="Times New Roman" w:cs="Times New Roman"/>
        </w:rPr>
        <w:t xml:space="preserve">Zastrzeżenia po etapie wojewódzkim </w:t>
      </w:r>
      <w:r w:rsidR="001D74A1" w:rsidRPr="00DD56E2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9" w:history="1">
        <w:r w:rsidR="00DD56E2" w:rsidRPr="00DD56E2">
          <w:rPr>
            <w:rStyle w:val="Hipercze"/>
            <w:rFonts w:ascii="Times New Roman" w:hAnsi="Times New Roman" w:cs="Times New Roman"/>
            <w:color w:val="auto"/>
          </w:rPr>
          <w:t>katarzyna.czaja@kuratorium.krakow.pl</w:t>
        </w:r>
      </w:hyperlink>
      <w:r w:rsidR="00DD56E2" w:rsidRPr="00DD56E2">
        <w:rPr>
          <w:rFonts w:ascii="Times New Roman" w:hAnsi="Times New Roman" w:cs="Times New Roman"/>
        </w:rPr>
        <w:t xml:space="preserve"> </w:t>
      </w:r>
      <w:r w:rsidR="001D74A1" w:rsidRPr="00DD56E2">
        <w:rPr>
          <w:rFonts w:ascii="Times New Roman" w:hAnsi="Times New Roman" w:cs="Times New Roman"/>
        </w:rPr>
        <w:t xml:space="preserve">lub osobiście </w:t>
      </w:r>
      <w:r w:rsidR="00B311B0" w:rsidRPr="00DD56E2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DD56E2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43BEF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56E2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C5B634B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czaj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7B07-57F6-4BEB-907C-AE331CC9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2019-09-10T12:51:00Z</dcterms:modified>
</cp:coreProperties>
</file>