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8E" w:rsidRPr="00086F9F" w:rsidRDefault="006C078E" w:rsidP="006C078E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C078E">
        <w:rPr>
          <w:rFonts w:ascii="Times New Roman" w:hAnsi="Times New Roman"/>
          <w:sz w:val="20"/>
          <w:szCs w:val="20"/>
        </w:rPr>
        <w:t>Języka Angielskiego</w:t>
      </w:r>
      <w:r w:rsidRPr="00086F9F">
        <w:rPr>
          <w:rFonts w:ascii="Times New Roman" w:hAnsi="Times New Roman"/>
          <w:sz w:val="20"/>
          <w:szCs w:val="20"/>
        </w:rPr>
        <w:t xml:space="preserve"> 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br/>
        <w:t xml:space="preserve">Nr </w:t>
      </w:r>
      <w:r w:rsidR="005D4293">
        <w:rPr>
          <w:rFonts w:ascii="Times New Roman" w:hAnsi="Times New Roman"/>
          <w:sz w:val="20"/>
          <w:szCs w:val="20"/>
        </w:rPr>
        <w:t>70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5D4293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194EE5" w:rsidRPr="00326DEB" w:rsidRDefault="00194EE5" w:rsidP="006C078E">
      <w:pPr>
        <w:spacing w:after="0"/>
        <w:rPr>
          <w:rFonts w:ascii="Times New Roman" w:hAnsi="Times New Roman"/>
          <w:sz w:val="24"/>
          <w:szCs w:val="24"/>
        </w:rPr>
      </w:pPr>
    </w:p>
    <w:p w:rsidR="00194EE5" w:rsidRPr="00326DEB" w:rsidRDefault="00194EE5" w:rsidP="006C078E">
      <w:pPr>
        <w:spacing w:after="0"/>
        <w:rPr>
          <w:rFonts w:ascii="Times New Roman" w:hAnsi="Times New Roman"/>
          <w:sz w:val="24"/>
          <w:szCs w:val="24"/>
        </w:rPr>
      </w:pPr>
    </w:p>
    <w:p w:rsidR="00194EE5" w:rsidRPr="00326DEB" w:rsidRDefault="00194EE5" w:rsidP="00194EE5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:rsidR="00F62410" w:rsidRPr="000D107F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C25CC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959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F85">
        <w:rPr>
          <w:rFonts w:ascii="Times New Roman" w:hAnsi="Times New Roman" w:cs="Times New Roman"/>
          <w:b/>
          <w:bCs/>
          <w:sz w:val="24"/>
          <w:szCs w:val="24"/>
        </w:rPr>
        <w:t>Tematyka konkursu</w:t>
      </w:r>
    </w:p>
    <w:p w:rsidR="00EC25CC" w:rsidRPr="00121F85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3B3D77" w:rsidRPr="003B367A" w:rsidRDefault="002F5284" w:rsidP="003B3D77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British and American literature – literary periods and famous writers</w:t>
      </w:r>
    </w:p>
    <w:p w:rsidR="00EC25CC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EC25CC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121F85">
        <w:rPr>
          <w:rFonts w:ascii="Times New Roman" w:hAnsi="Times New Roman" w:cs="Times New Roman"/>
          <w:b/>
          <w:bCs/>
          <w:sz w:val="24"/>
          <w:szCs w:val="24"/>
        </w:rPr>
        <w:t>Zakres wymaganej wiedzy i umiejętności uczestników</w:t>
      </w:r>
    </w:p>
    <w:p w:rsidR="00EC25CC" w:rsidRPr="00121F85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3B3D77" w:rsidRPr="00936A44" w:rsidRDefault="003B3D77" w:rsidP="003B3D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936A44">
        <w:rPr>
          <w:rFonts w:ascii="Times New Roman" w:eastAsia="Times New Roman" w:hAnsi="Times New Roman"/>
        </w:rPr>
        <w:t>Zakres wiedzy i umiejętności wymaganych od uczestników etapu szkolnego odpowiada poziomowi B1 według klasyfikacji Europejskiego Systemu Opisu Kształcenia Językowego (Common European Framework of Reference for Languages).</w:t>
      </w:r>
    </w:p>
    <w:p w:rsidR="003B3D77" w:rsidRPr="00936A44" w:rsidRDefault="003B3D77" w:rsidP="003B3D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D77" w:rsidRPr="00936A44" w:rsidRDefault="003B3D77" w:rsidP="003B3D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936A44">
        <w:rPr>
          <w:rFonts w:ascii="Times New Roman" w:eastAsia="Times New Roman" w:hAnsi="Times New Roman"/>
        </w:rPr>
        <w:t xml:space="preserve">Zakres wiedzy i umiejętności wymaganych od uczestników etapu rejonowego odpowiada poziomowi B2 według klasyfikacji Europejskiego Systemu Opisu Kształcenia Językowego (Common European Framework of Reference for Languages). Ponadto wymagana jest znajomość </w:t>
      </w:r>
      <w:r>
        <w:rPr>
          <w:rFonts w:ascii="Times New Roman" w:eastAsia="Times New Roman" w:hAnsi="Times New Roman"/>
        </w:rPr>
        <w:t xml:space="preserve">zagadnień dotyczących </w:t>
      </w:r>
      <w:r w:rsidR="000F2CFD">
        <w:rPr>
          <w:rFonts w:ascii="Times New Roman" w:eastAsia="Times New Roman" w:hAnsi="Times New Roman"/>
        </w:rPr>
        <w:t xml:space="preserve">geografii, historii, kultury </w:t>
      </w:r>
      <w:r>
        <w:rPr>
          <w:rFonts w:ascii="Times New Roman" w:eastAsia="Times New Roman" w:hAnsi="Times New Roman"/>
        </w:rPr>
        <w:t>Wielkiej Brytanii</w:t>
      </w:r>
      <w:r w:rsidRPr="00936A4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br/>
      </w:r>
      <w:r w:rsidRPr="00936A44">
        <w:rPr>
          <w:rFonts w:ascii="Times New Roman" w:eastAsia="Times New Roman" w:hAnsi="Times New Roman"/>
        </w:rPr>
        <w:t>w zakresie wyznaczonym przez lektury, o których mowa poniżej.</w:t>
      </w:r>
    </w:p>
    <w:p w:rsidR="003B3D77" w:rsidRPr="00936A44" w:rsidRDefault="003B3D77" w:rsidP="003B3D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D77" w:rsidRPr="00936A44" w:rsidRDefault="003B3D77" w:rsidP="003B3D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36A44">
        <w:rPr>
          <w:rFonts w:ascii="Times New Roman" w:eastAsia="Times New Roman" w:hAnsi="Times New Roman"/>
        </w:rPr>
        <w:t xml:space="preserve">Zakres wiedzy i umiejętności wymaganych od uczestników etapu wojewódzkiego odpowiada poziomowi C1 według klasyfikacji Europejskiego Systemu Opisu Kształcenia Językowego, (Common European Framework of Reference for Languages). Ponadto wymagana jest znajomość </w:t>
      </w:r>
      <w:r>
        <w:rPr>
          <w:rFonts w:ascii="Times New Roman" w:eastAsia="Times New Roman" w:hAnsi="Times New Roman"/>
        </w:rPr>
        <w:t>zagadnień dotyczących geografii, histo</w:t>
      </w:r>
      <w:r w:rsidR="000F2CFD">
        <w:rPr>
          <w:rFonts w:ascii="Times New Roman" w:eastAsia="Times New Roman" w:hAnsi="Times New Roman"/>
        </w:rPr>
        <w:t xml:space="preserve">rii, kultury </w:t>
      </w:r>
      <w:r>
        <w:rPr>
          <w:rFonts w:ascii="Times New Roman" w:eastAsia="Times New Roman" w:hAnsi="Times New Roman"/>
        </w:rPr>
        <w:t>Wielkiej Brytanii</w:t>
      </w:r>
      <w:r w:rsidRPr="00936A4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br/>
      </w:r>
      <w:r w:rsidRPr="00936A44">
        <w:rPr>
          <w:rFonts w:ascii="Times New Roman" w:eastAsia="Times New Roman" w:hAnsi="Times New Roman"/>
        </w:rPr>
        <w:t>w zakresie wyznaczonym przez lektury, o których mowa poniżej.</w:t>
      </w:r>
    </w:p>
    <w:p w:rsidR="00EC25CC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198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121F85">
        <w:rPr>
          <w:rFonts w:ascii="Times New Roman" w:hAnsi="Times New Roman" w:cs="Times New Roman"/>
          <w:b/>
          <w:bCs/>
          <w:sz w:val="24"/>
          <w:szCs w:val="24"/>
        </w:rPr>
        <w:t xml:space="preserve">Wykaz literatury </w:t>
      </w:r>
      <w:r>
        <w:rPr>
          <w:rFonts w:ascii="Times New Roman" w:hAnsi="Times New Roman" w:cs="Times New Roman"/>
          <w:b/>
          <w:bCs/>
          <w:sz w:val="24"/>
          <w:szCs w:val="24"/>
        </w:rPr>
        <w:t>pomocniczej dla</w:t>
      </w:r>
      <w:r w:rsidRPr="00121F85">
        <w:rPr>
          <w:rFonts w:ascii="Times New Roman" w:hAnsi="Times New Roman" w:cs="Times New Roman"/>
          <w:b/>
          <w:bCs/>
          <w:sz w:val="24"/>
          <w:szCs w:val="24"/>
        </w:rPr>
        <w:t xml:space="preserve"> uczestników oraz stanowiącej pomoc</w:t>
      </w:r>
    </w:p>
    <w:p w:rsidR="00EC25CC" w:rsidRDefault="00764198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C25CC" w:rsidRPr="00121F85">
        <w:rPr>
          <w:rFonts w:ascii="Times New Roman" w:hAnsi="Times New Roman" w:cs="Times New Roman"/>
          <w:b/>
          <w:bCs/>
          <w:sz w:val="24"/>
          <w:szCs w:val="24"/>
        </w:rPr>
        <w:t>dla nauczyciela</w:t>
      </w:r>
    </w:p>
    <w:p w:rsidR="003B3D77" w:rsidRDefault="003B3D77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D77" w:rsidRPr="00936A44" w:rsidRDefault="003B3D77" w:rsidP="003B3D77">
      <w:pPr>
        <w:spacing w:after="0"/>
        <w:rPr>
          <w:rFonts w:ascii="Times New Roman" w:eastAsia="Times New Roman" w:hAnsi="Times New Roman"/>
          <w:b/>
        </w:rPr>
      </w:pPr>
      <w:r w:rsidRPr="00936A44">
        <w:rPr>
          <w:rFonts w:ascii="Times New Roman" w:eastAsia="Times New Roman" w:hAnsi="Times New Roman"/>
          <w:b/>
        </w:rPr>
        <w:t>Etap szkolny:</w:t>
      </w:r>
    </w:p>
    <w:p w:rsidR="003B3D77" w:rsidRPr="00936A44" w:rsidRDefault="003B3D77" w:rsidP="003B3D7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936A44">
        <w:rPr>
          <w:rFonts w:ascii="Times New Roman" w:eastAsia="Times New Roman" w:hAnsi="Times New Roman"/>
        </w:rPr>
        <w:t xml:space="preserve">odręczniki do języka angielskiego dopuszczone przez MEN do użytku szkolnego </w:t>
      </w:r>
      <w:r>
        <w:rPr>
          <w:rFonts w:ascii="Times New Roman" w:eastAsia="Times New Roman" w:hAnsi="Times New Roman"/>
        </w:rPr>
        <w:br/>
        <w:t xml:space="preserve">w </w:t>
      </w:r>
      <w:r w:rsidR="00E03AAC">
        <w:rPr>
          <w:rFonts w:ascii="Times New Roman" w:eastAsia="Times New Roman" w:hAnsi="Times New Roman"/>
        </w:rPr>
        <w:t>szkole podstawowej</w:t>
      </w:r>
      <w:r>
        <w:rPr>
          <w:rFonts w:ascii="Times New Roman" w:eastAsia="Times New Roman" w:hAnsi="Times New Roman"/>
        </w:rPr>
        <w:t>;</w:t>
      </w:r>
    </w:p>
    <w:p w:rsidR="003B3D77" w:rsidRPr="00936A44" w:rsidRDefault="003B3D77" w:rsidP="003B3D7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Michael Vince, Intermediate </w:t>
      </w:r>
      <w:r w:rsidRPr="00936A44">
        <w:rPr>
          <w:rFonts w:ascii="Times New Roman" w:eastAsia="Times New Roman" w:hAnsi="Times New Roman"/>
          <w:lang w:val="en-GB"/>
        </w:rPr>
        <w:t xml:space="preserve">Language Practice, </w:t>
      </w:r>
      <w:r w:rsidR="00E52ED8">
        <w:rPr>
          <w:rFonts w:ascii="Times New Roman" w:eastAsia="Times New Roman" w:hAnsi="Times New Roman"/>
          <w:lang w:val="en-GB"/>
        </w:rPr>
        <w:t>3</w:t>
      </w:r>
      <w:r w:rsidR="00E52ED8" w:rsidRPr="00E52ED8">
        <w:rPr>
          <w:rFonts w:ascii="Times New Roman" w:eastAsia="Times New Roman" w:hAnsi="Times New Roman"/>
          <w:vertAlign w:val="superscript"/>
          <w:lang w:val="en-GB"/>
        </w:rPr>
        <w:t>rd</w:t>
      </w:r>
      <w:r w:rsidR="00E52ED8">
        <w:rPr>
          <w:rFonts w:ascii="Times New Roman" w:eastAsia="Times New Roman" w:hAnsi="Times New Roman"/>
          <w:lang w:val="en-GB"/>
        </w:rPr>
        <w:t xml:space="preserve"> </w:t>
      </w:r>
      <w:r w:rsidRPr="00936A44">
        <w:rPr>
          <w:rFonts w:ascii="Times New Roman" w:eastAsia="Times New Roman" w:hAnsi="Times New Roman"/>
          <w:lang w:val="en-GB"/>
        </w:rPr>
        <w:t>edition, Wydawnictwo Macmillan, 2010.</w:t>
      </w:r>
    </w:p>
    <w:p w:rsidR="003B3D77" w:rsidRPr="002A5E1B" w:rsidRDefault="003B3D77" w:rsidP="003B3D77">
      <w:pPr>
        <w:rPr>
          <w:rFonts w:ascii="Times New Roman" w:eastAsia="Times New Roman" w:hAnsi="Times New Roman"/>
          <w:b/>
          <w:lang w:val="en-GB"/>
        </w:rPr>
      </w:pPr>
      <w:r w:rsidRPr="003B3D77">
        <w:rPr>
          <w:rFonts w:ascii="Times New Roman" w:eastAsia="Times New Roman" w:hAnsi="Times New Roman"/>
          <w:b/>
        </w:rPr>
        <w:t>Etap rejonowy:</w:t>
      </w:r>
    </w:p>
    <w:p w:rsidR="003B3D77" w:rsidRPr="002A5E1B" w:rsidRDefault="003B3D77" w:rsidP="003B3D77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</w:rPr>
      </w:pPr>
      <w:r w:rsidRPr="002A5E1B">
        <w:rPr>
          <w:rFonts w:ascii="Times New Roman" w:eastAsia="Times New Roman" w:hAnsi="Times New Roman"/>
        </w:rPr>
        <w:t>Pozycje obowiązujące do etapu szkolnego;</w:t>
      </w:r>
    </w:p>
    <w:p w:rsidR="003B3D77" w:rsidRPr="002A5E1B" w:rsidRDefault="00E52ED8" w:rsidP="003B3D77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Michael </w:t>
      </w:r>
      <w:r w:rsidR="003B3D77" w:rsidRPr="002A5E1B">
        <w:rPr>
          <w:rFonts w:ascii="Times New Roman" w:eastAsia="Times New Roman" w:hAnsi="Times New Roman"/>
          <w:lang w:val="en-GB"/>
        </w:rPr>
        <w:t>Vince, Language Practice</w:t>
      </w:r>
      <w:r>
        <w:rPr>
          <w:rFonts w:ascii="Times New Roman" w:eastAsia="Times New Roman" w:hAnsi="Times New Roman"/>
          <w:lang w:val="en-GB"/>
        </w:rPr>
        <w:t xml:space="preserve"> for First</w:t>
      </w:r>
      <w:r w:rsidR="003B3D77" w:rsidRPr="002A5E1B">
        <w:rPr>
          <w:rFonts w:ascii="Times New Roman" w:eastAsia="Times New Roman" w:hAnsi="Times New Roman"/>
          <w:lang w:val="en-GB"/>
        </w:rPr>
        <w:t xml:space="preserve">, </w:t>
      </w:r>
      <w:r>
        <w:rPr>
          <w:rFonts w:ascii="Times New Roman" w:eastAsia="Times New Roman" w:hAnsi="Times New Roman"/>
          <w:lang w:val="en-GB"/>
        </w:rPr>
        <w:t>5</w:t>
      </w:r>
      <w:r w:rsidRPr="00E52ED8">
        <w:rPr>
          <w:rFonts w:ascii="Times New Roman" w:eastAsia="Times New Roman" w:hAnsi="Times New Roman"/>
          <w:vertAlign w:val="superscript"/>
          <w:lang w:val="en-GB"/>
        </w:rPr>
        <w:t>th</w:t>
      </w:r>
      <w:r>
        <w:rPr>
          <w:rFonts w:ascii="Times New Roman" w:eastAsia="Times New Roman" w:hAnsi="Times New Roman"/>
          <w:lang w:val="en-GB"/>
        </w:rPr>
        <w:t xml:space="preserve"> edition, </w:t>
      </w:r>
      <w:r w:rsidR="003B3D77" w:rsidRPr="002A5E1B">
        <w:rPr>
          <w:rFonts w:ascii="Times New Roman" w:eastAsia="Times New Roman" w:hAnsi="Times New Roman"/>
          <w:lang w:val="en-GB"/>
        </w:rPr>
        <w:t>Wydawnictwo Macmillan, 2014;</w:t>
      </w:r>
    </w:p>
    <w:p w:rsidR="00CA7FD5" w:rsidRPr="00CA7FD5" w:rsidRDefault="005D4293" w:rsidP="00CA7FD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hyperlink r:id="rId7" w:history="1">
        <w:r w:rsidR="00CA7FD5" w:rsidRPr="00E24865">
          <w:rPr>
            <w:rStyle w:val="Hipercze"/>
          </w:rPr>
          <w:t>https://www.thoughtco.com/british-literary-periods-739034</w:t>
        </w:r>
      </w:hyperlink>
      <w:r w:rsidR="00CA7FD5">
        <w:t xml:space="preserve">  </w:t>
      </w:r>
      <w:r w:rsidR="00CA7FD5" w:rsidRPr="00CA7FD5">
        <w:rPr>
          <w:rFonts w:ascii="Times New Roman" w:hAnsi="Times New Roman"/>
        </w:rPr>
        <w:t>(pierwsza strona, bez rozwijania)</w:t>
      </w:r>
      <w:r w:rsidR="00463D2C">
        <w:rPr>
          <w:rFonts w:ascii="Times New Roman" w:hAnsi="Times New Roman"/>
        </w:rPr>
        <w:t>;</w:t>
      </w:r>
    </w:p>
    <w:p w:rsidR="003B3D77" w:rsidRPr="00CA7FD5" w:rsidRDefault="005D4293" w:rsidP="00CA7FD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hyperlink r:id="rId8" w:history="1">
        <w:r w:rsidR="00CA7FD5" w:rsidRPr="00E24865">
          <w:rPr>
            <w:rStyle w:val="Hipercze"/>
          </w:rPr>
          <w:t>https://www.thoughtco.com/american-literary-periods-741872</w:t>
        </w:r>
      </w:hyperlink>
      <w:r w:rsidR="00E52ED8">
        <w:rPr>
          <w:rStyle w:val="Hipercze"/>
        </w:rPr>
        <w:t xml:space="preserve"> </w:t>
      </w:r>
      <w:r w:rsidR="003B3D77" w:rsidRPr="00CA7FD5">
        <w:rPr>
          <w:rFonts w:ascii="Times New Roman" w:hAnsi="Times New Roman"/>
        </w:rPr>
        <w:t>(pierwsza strona, bez rozwijania)</w:t>
      </w:r>
      <w:r w:rsidR="00463D2C">
        <w:rPr>
          <w:rFonts w:ascii="Times New Roman" w:hAnsi="Times New Roman"/>
        </w:rPr>
        <w:t>.</w:t>
      </w:r>
    </w:p>
    <w:p w:rsidR="00194EE5" w:rsidRDefault="00194EE5" w:rsidP="003B3D77">
      <w:pPr>
        <w:pStyle w:val="Akapitzlist"/>
        <w:spacing w:before="100" w:beforeAutospacing="1" w:after="100" w:afterAutospacing="1"/>
        <w:ind w:left="0"/>
        <w:rPr>
          <w:rFonts w:ascii="Times New Roman" w:eastAsia="Times New Roman" w:hAnsi="Times New Roman"/>
          <w:b/>
        </w:rPr>
      </w:pPr>
    </w:p>
    <w:p w:rsidR="003B3D77" w:rsidRPr="002A5E1B" w:rsidRDefault="003B3D77" w:rsidP="003B3D77">
      <w:pPr>
        <w:pStyle w:val="Akapitzlist"/>
        <w:spacing w:before="100" w:beforeAutospacing="1" w:after="100" w:afterAutospacing="1"/>
        <w:ind w:left="0"/>
        <w:rPr>
          <w:lang w:val="en-GB"/>
        </w:rPr>
      </w:pPr>
      <w:r w:rsidRPr="002A5E1B">
        <w:rPr>
          <w:rFonts w:ascii="Times New Roman" w:eastAsia="Times New Roman" w:hAnsi="Times New Roman"/>
          <w:b/>
        </w:rPr>
        <w:t>Etap wojewódzki:</w:t>
      </w:r>
    </w:p>
    <w:p w:rsidR="003B3D77" w:rsidRPr="00936A44" w:rsidRDefault="003B3D77" w:rsidP="003B3D77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936A44">
        <w:rPr>
          <w:rFonts w:ascii="Times New Roman" w:eastAsia="Times New Roman" w:hAnsi="Times New Roman"/>
        </w:rPr>
        <w:t>ozycje o</w:t>
      </w:r>
      <w:r>
        <w:rPr>
          <w:rFonts w:ascii="Times New Roman" w:eastAsia="Times New Roman" w:hAnsi="Times New Roman"/>
        </w:rPr>
        <w:t>bowiązujące do etapu rejonowego;</w:t>
      </w:r>
    </w:p>
    <w:p w:rsidR="003B3D77" w:rsidRPr="002A5E1B" w:rsidRDefault="00E52ED8" w:rsidP="003B3D77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Michael </w:t>
      </w:r>
      <w:r w:rsidR="003B3D77" w:rsidRPr="00936A44">
        <w:rPr>
          <w:rFonts w:ascii="Times New Roman" w:eastAsia="Times New Roman" w:hAnsi="Times New Roman"/>
          <w:lang w:val="en-GB"/>
        </w:rPr>
        <w:t>Vince</w:t>
      </w:r>
      <w:r w:rsidR="003B3D77" w:rsidRPr="00FE675C">
        <w:rPr>
          <w:rFonts w:ascii="Times New Roman" w:eastAsia="Times New Roman" w:hAnsi="Times New Roman"/>
          <w:lang w:val="en-GB"/>
        </w:rPr>
        <w:t>,</w:t>
      </w:r>
      <w:r w:rsidR="003B3D77">
        <w:rPr>
          <w:rFonts w:ascii="Times New Roman" w:eastAsia="Times New Roman" w:hAnsi="Times New Roman"/>
          <w:lang w:val="en-GB"/>
        </w:rPr>
        <w:t xml:space="preserve"> </w:t>
      </w:r>
      <w:r w:rsidR="003B3D77" w:rsidRPr="00144B00">
        <w:rPr>
          <w:rFonts w:ascii="Times New Roman" w:hAnsi="Times New Roman"/>
        </w:rPr>
        <w:t>Language Practice</w:t>
      </w:r>
      <w:r>
        <w:rPr>
          <w:rFonts w:ascii="Times New Roman" w:hAnsi="Times New Roman"/>
        </w:rPr>
        <w:t xml:space="preserve"> for Advanced, 4th edition,</w:t>
      </w:r>
      <w:r w:rsidR="003B3D77" w:rsidRPr="002A5E1B">
        <w:rPr>
          <w:rFonts w:ascii="Times New Roman" w:eastAsia="Times New Roman" w:hAnsi="Times New Roman"/>
          <w:lang w:val="en-GB"/>
        </w:rPr>
        <w:t xml:space="preserve"> </w:t>
      </w:r>
      <w:r w:rsidR="003B3D77">
        <w:rPr>
          <w:rFonts w:ascii="Times New Roman" w:eastAsia="Times New Roman" w:hAnsi="Times New Roman"/>
          <w:lang w:val="en-GB"/>
        </w:rPr>
        <w:t xml:space="preserve">Wydawnictwo </w:t>
      </w:r>
      <w:r w:rsidR="003B3D77" w:rsidRPr="002A5E1B">
        <w:rPr>
          <w:rFonts w:ascii="Times New Roman" w:eastAsia="Times New Roman" w:hAnsi="Times New Roman"/>
          <w:lang w:val="en-GB"/>
        </w:rPr>
        <w:t>Macmillan 2014;</w:t>
      </w:r>
    </w:p>
    <w:p w:rsidR="003B3D77" w:rsidRPr="00CA7FD5" w:rsidRDefault="00463D2C" w:rsidP="003B3D77">
      <w:pPr>
        <w:pStyle w:val="Akapitzlist"/>
        <w:numPr>
          <w:ilvl w:val="0"/>
          <w:numId w:val="10"/>
        </w:numPr>
        <w:spacing w:line="240" w:lineRule="auto"/>
        <w:rPr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Roman </w:t>
      </w:r>
      <w:r w:rsidR="003B3D77" w:rsidRPr="00325F8B">
        <w:rPr>
          <w:rFonts w:ascii="Times New Roman" w:eastAsia="Times New Roman" w:hAnsi="Times New Roman"/>
          <w:lang w:val="en-GB"/>
        </w:rPr>
        <w:t xml:space="preserve">Ociepa, United Kingdom at a Glance, PWN Wydawnictwo Szkolne, wydanie 4, 2017, rozdział: </w:t>
      </w:r>
      <w:r w:rsidR="002F5284">
        <w:rPr>
          <w:rFonts w:ascii="Times New Roman" w:eastAsia="Times New Roman" w:hAnsi="Times New Roman"/>
          <w:lang w:val="en-GB"/>
        </w:rPr>
        <w:t>Famous writers</w:t>
      </w:r>
      <w:r w:rsidR="003B3D77" w:rsidRPr="00325F8B">
        <w:rPr>
          <w:rFonts w:ascii="Times New Roman" w:eastAsia="Times New Roman" w:hAnsi="Times New Roman"/>
          <w:lang w:val="en-GB"/>
        </w:rPr>
        <w:t xml:space="preserve"> (str. </w:t>
      </w:r>
      <w:r w:rsidR="002F5284">
        <w:rPr>
          <w:rFonts w:ascii="Times New Roman" w:eastAsia="Times New Roman" w:hAnsi="Times New Roman"/>
          <w:lang w:val="en-GB"/>
        </w:rPr>
        <w:t>146 – 181)</w:t>
      </w:r>
      <w:r>
        <w:rPr>
          <w:rFonts w:ascii="Times New Roman" w:eastAsia="Times New Roman" w:hAnsi="Times New Roman"/>
          <w:lang w:val="en-GB"/>
        </w:rPr>
        <w:t>;</w:t>
      </w:r>
    </w:p>
    <w:p w:rsidR="00CA7FD5" w:rsidRDefault="005D4293" w:rsidP="00CA7FD5">
      <w:pPr>
        <w:pStyle w:val="Akapitzlist"/>
        <w:numPr>
          <w:ilvl w:val="0"/>
          <w:numId w:val="10"/>
        </w:numPr>
        <w:spacing w:line="240" w:lineRule="auto"/>
        <w:rPr>
          <w:lang w:val="en-GB"/>
        </w:rPr>
      </w:pPr>
      <w:hyperlink r:id="rId9" w:history="1">
        <w:r w:rsidR="00CA7FD5" w:rsidRPr="00E24865">
          <w:rPr>
            <w:rStyle w:val="Hipercze"/>
            <w:lang w:val="en-GB"/>
          </w:rPr>
          <w:t>https://www.visitbritainshop.com/world/articles/british-literary-guide/</w:t>
        </w:r>
      </w:hyperlink>
      <w:r w:rsidR="00CA7FD5">
        <w:rPr>
          <w:lang w:val="en-GB"/>
        </w:rPr>
        <w:t xml:space="preserve"> (pierwsza strona, bez rozwijania)</w:t>
      </w:r>
      <w:r w:rsidR="00463D2C">
        <w:rPr>
          <w:lang w:val="en-GB"/>
        </w:rPr>
        <w:t>;</w:t>
      </w:r>
    </w:p>
    <w:p w:rsidR="00CA7FD5" w:rsidRPr="00325F8B" w:rsidRDefault="005D4293" w:rsidP="00CA7FD5">
      <w:pPr>
        <w:pStyle w:val="Akapitzlist"/>
        <w:numPr>
          <w:ilvl w:val="0"/>
          <w:numId w:val="10"/>
        </w:numPr>
        <w:spacing w:line="240" w:lineRule="auto"/>
        <w:rPr>
          <w:lang w:val="en-GB"/>
        </w:rPr>
      </w:pPr>
      <w:hyperlink r:id="rId10" w:history="1">
        <w:r w:rsidR="00CA7FD5" w:rsidRPr="00E24865">
          <w:rPr>
            <w:rStyle w:val="Hipercze"/>
            <w:lang w:val="en-GB"/>
          </w:rPr>
          <w:t>https://www.theodysseyonline.com/top-10-american-novelists</w:t>
        </w:r>
      </w:hyperlink>
      <w:r w:rsidR="00CA7FD5">
        <w:rPr>
          <w:lang w:val="en-GB"/>
        </w:rPr>
        <w:t xml:space="preserve">  (pierwsza strona, bez rozwijania)</w:t>
      </w:r>
      <w:r w:rsidR="00463D2C">
        <w:rPr>
          <w:lang w:val="en-GB"/>
        </w:rPr>
        <w:t>.</w:t>
      </w:r>
    </w:p>
    <w:p w:rsidR="00F62410" w:rsidRPr="003B3D77" w:rsidRDefault="00F62410" w:rsidP="000D662F">
      <w:pPr>
        <w:rPr>
          <w:lang w:val="en-GB"/>
        </w:rPr>
      </w:pPr>
    </w:p>
    <w:sectPr w:rsidR="00F62410" w:rsidRPr="003B3D77" w:rsidSect="003D2F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8A" w:rsidRDefault="00EE558A" w:rsidP="00254BB9">
      <w:pPr>
        <w:spacing w:after="0" w:line="240" w:lineRule="auto"/>
      </w:pPr>
      <w:r>
        <w:separator/>
      </w:r>
    </w:p>
  </w:endnote>
  <w:endnote w:type="continuationSeparator" w:id="0">
    <w:p w:rsidR="00EE558A" w:rsidRDefault="00EE558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81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569" w:rsidRDefault="00607F00">
        <w:pPr>
          <w:pStyle w:val="Stopka"/>
          <w:jc w:val="center"/>
        </w:pPr>
        <w:r>
          <w:fldChar w:fldCharType="begin"/>
        </w:r>
        <w:r w:rsidR="005F0569">
          <w:instrText xml:space="preserve"> PAGE   \* MERGEFORMAT </w:instrText>
        </w:r>
        <w:r>
          <w:fldChar w:fldCharType="separate"/>
        </w:r>
        <w:r w:rsidR="00463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569" w:rsidRDefault="005F0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8A" w:rsidRDefault="00EE558A" w:rsidP="00254BB9">
      <w:pPr>
        <w:spacing w:after="0" w:line="240" w:lineRule="auto"/>
      </w:pPr>
      <w:r>
        <w:separator/>
      </w:r>
    </w:p>
  </w:footnote>
  <w:footnote w:type="continuationSeparator" w:id="0">
    <w:p w:rsidR="00EE558A" w:rsidRDefault="00EE558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D76"/>
    <w:multiLevelType w:val="hybridMultilevel"/>
    <w:tmpl w:val="864EC076"/>
    <w:lvl w:ilvl="0" w:tplc="0DA2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802"/>
    <w:multiLevelType w:val="hybridMultilevel"/>
    <w:tmpl w:val="DE04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518E2"/>
    <w:multiLevelType w:val="hybridMultilevel"/>
    <w:tmpl w:val="B41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02E0"/>
    <w:multiLevelType w:val="hybridMultilevel"/>
    <w:tmpl w:val="DA46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5724A"/>
    <w:rsid w:val="000A04A4"/>
    <w:rsid w:val="000C192F"/>
    <w:rsid w:val="000D107F"/>
    <w:rsid w:val="000D662F"/>
    <w:rsid w:val="000F2CFD"/>
    <w:rsid w:val="0012170B"/>
    <w:rsid w:val="00143269"/>
    <w:rsid w:val="00170764"/>
    <w:rsid w:val="00194EE5"/>
    <w:rsid w:val="001A65B0"/>
    <w:rsid w:val="002157F1"/>
    <w:rsid w:val="00254BB9"/>
    <w:rsid w:val="002576D8"/>
    <w:rsid w:val="00276A09"/>
    <w:rsid w:val="002D7261"/>
    <w:rsid w:val="002F5284"/>
    <w:rsid w:val="00313FC7"/>
    <w:rsid w:val="00324C19"/>
    <w:rsid w:val="00344884"/>
    <w:rsid w:val="003B3D77"/>
    <w:rsid w:val="003D2FB3"/>
    <w:rsid w:val="00447986"/>
    <w:rsid w:val="00463D2C"/>
    <w:rsid w:val="005017F5"/>
    <w:rsid w:val="00551D13"/>
    <w:rsid w:val="005D4293"/>
    <w:rsid w:val="005F0569"/>
    <w:rsid w:val="005F79DF"/>
    <w:rsid w:val="00607F00"/>
    <w:rsid w:val="006122A5"/>
    <w:rsid w:val="00613246"/>
    <w:rsid w:val="006518B1"/>
    <w:rsid w:val="00660440"/>
    <w:rsid w:val="00660F80"/>
    <w:rsid w:val="006914D7"/>
    <w:rsid w:val="00695525"/>
    <w:rsid w:val="006A5B87"/>
    <w:rsid w:val="006C078E"/>
    <w:rsid w:val="00764198"/>
    <w:rsid w:val="00796EA2"/>
    <w:rsid w:val="00814F03"/>
    <w:rsid w:val="00873874"/>
    <w:rsid w:val="008A1B39"/>
    <w:rsid w:val="008A69F7"/>
    <w:rsid w:val="008D6D74"/>
    <w:rsid w:val="008F51B4"/>
    <w:rsid w:val="0094303E"/>
    <w:rsid w:val="00973B02"/>
    <w:rsid w:val="009C0976"/>
    <w:rsid w:val="00A02829"/>
    <w:rsid w:val="00A1337D"/>
    <w:rsid w:val="00A518B3"/>
    <w:rsid w:val="00A67E81"/>
    <w:rsid w:val="00A83823"/>
    <w:rsid w:val="00B04739"/>
    <w:rsid w:val="00B4287A"/>
    <w:rsid w:val="00BF4781"/>
    <w:rsid w:val="00C914C2"/>
    <w:rsid w:val="00CA7FD5"/>
    <w:rsid w:val="00CE0FD3"/>
    <w:rsid w:val="00D77CBD"/>
    <w:rsid w:val="00DC7CDC"/>
    <w:rsid w:val="00E0353E"/>
    <w:rsid w:val="00E03AAC"/>
    <w:rsid w:val="00E52ED8"/>
    <w:rsid w:val="00E609A2"/>
    <w:rsid w:val="00EC25CC"/>
    <w:rsid w:val="00EE558A"/>
    <w:rsid w:val="00F57F5E"/>
    <w:rsid w:val="00F62410"/>
    <w:rsid w:val="00F80589"/>
    <w:rsid w:val="00F91696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2F8B"/>
  <w15:docId w15:val="{A96E6DAB-7C00-429C-9D04-10691802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UyteHipercze">
    <w:name w:val="FollowedHyperlink"/>
    <w:basedOn w:val="Domylnaczcionkaakapitu"/>
    <w:uiPriority w:val="99"/>
    <w:semiHidden/>
    <w:unhideWhenUsed/>
    <w:rsid w:val="000F2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american-literary-periods-7418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british-literary-periods-7390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heodysseyonline.com/top-10-american-nove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tbritainshop.com/world/articles/british-literary-guid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</cp:revision>
  <cp:lastPrinted>2018-07-25T11:10:00Z</cp:lastPrinted>
  <dcterms:created xsi:type="dcterms:W3CDTF">2019-09-05T11:06:00Z</dcterms:created>
  <dcterms:modified xsi:type="dcterms:W3CDTF">2019-09-10T13:14:00Z</dcterms:modified>
</cp:coreProperties>
</file>